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A9428D" w:rsidRDefault="00DB5341" w:rsidP="00D9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 xml:space="preserve">нагляду </w:t>
      </w:r>
      <w:r w:rsidR="00D9195D">
        <w:rPr>
          <w:rFonts w:ascii="Times New Roman" w:hAnsi="Times New Roman" w:cs="Times New Roman"/>
          <w:sz w:val="28"/>
          <w:szCs w:val="28"/>
          <w:lang w:val="uk-UA"/>
        </w:rPr>
        <w:t xml:space="preserve">в будівництві, котлонагляді на 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>транспорті на зв</w:t>
      </w:r>
      <w:r w:rsidR="00137E72" w:rsidRPr="00137E72">
        <w:rPr>
          <w:rFonts w:ascii="Times New Roman" w:hAnsi="Times New Roman" w:cs="Times New Roman"/>
          <w:sz w:val="28"/>
          <w:szCs w:val="28"/>
        </w:rPr>
        <w:t>’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>язку Управління нагляду в промисловості і на об’єктах підвищеної небезпеки</w:t>
      </w:r>
      <w:r w:rsidR="00D91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137E72" w:rsidRDefault="00127E2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підготовці пропозицій щодо формування державної політики з питань нагляду та контролю за додержанням законодавства про охорону праці.</w:t>
            </w:r>
          </w:p>
          <w:p w:rsidR="00127E2F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нагляд за дотриманням законодавчих, та інших нормативно-правових актів </w:t>
            </w:r>
            <w:r w:rsidR="0008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промислової безпеки та охорони праці на закріплених галузевих суб’єктів господарювання</w:t>
            </w:r>
            <w:r w:rsidR="00291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1AE8" w:rsidRDefault="00291AE8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291AE8" w:rsidRDefault="00821C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аналіз травматизму на під т</w:t>
            </w:r>
            <w:r w:rsidR="00436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наглядових підприємствах, на основі його</w:t>
            </w:r>
            <w:r w:rsidR="00436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розглядає профілактичні заходи, направлені на попередження аварій і нещасних випадків.</w:t>
            </w:r>
          </w:p>
          <w:p w:rsidR="004C0AA0" w:rsidRPr="00137E72" w:rsidRDefault="004C0AA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 участь в роботі комісій на підприємствах, установах та організаціях з перевірки знань вимог нормативно-правових актів з охорони праці.</w:t>
            </w:r>
          </w:p>
          <w:p w:rsidR="00DC73B9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  <w:r w:rsidR="00DC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703E64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період відсутності основного працівника, який перебуває у відпустці по догляду за дитиною по досягненню нею трирічного віку.</w:t>
            </w:r>
            <w:r w:rsidR="00BA7E5A" w:rsidRPr="00703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A178C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="00A178C3"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97DA3" w:rsidRDefault="00EA6094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RPr="00031D59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Pr="004403C7" w:rsidRDefault="00CC5B05" w:rsidP="00F96885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F96885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E97DA3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1D59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листопада</w:t>
            </w:r>
            <w:r w:rsidR="00E97DA3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2016 року, о 10 год. 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031D59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(096) 171 94 81</w:t>
            </w:r>
            <w:r w:rsidR="00031D5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37E72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137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Закон України «Про державну службу» Закон України «Про очищення влади»</w:t>
            </w:r>
            <w:r w:rsid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 України «Про запобігання корупції», </w:t>
            </w:r>
            <w:r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Кодекс законів про працю України,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охорону праці»,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об’єкти підвищеної небезпеки»,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 засади державного нагляду (контролю) у сфері господарської діяльності»,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звернення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341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1D59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2C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27E2F"/>
    <w:rsid w:val="00136952"/>
    <w:rsid w:val="00137E7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2CF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1AE8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998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683F"/>
    <w:rsid w:val="00437773"/>
    <w:rsid w:val="00437B67"/>
    <w:rsid w:val="004403C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0AA0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5F6489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3E64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5301"/>
    <w:rsid w:val="0082072E"/>
    <w:rsid w:val="00821C37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2FEA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178C3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5A74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C1BAC"/>
    <w:rsid w:val="00BC3EF3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3948"/>
    <w:rsid w:val="00CA6CEB"/>
    <w:rsid w:val="00CA7846"/>
    <w:rsid w:val="00CB0E19"/>
    <w:rsid w:val="00CB3198"/>
    <w:rsid w:val="00CB3D8F"/>
    <w:rsid w:val="00CB500B"/>
    <w:rsid w:val="00CC5B05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195D"/>
    <w:rsid w:val="00D94672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96885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2016-07-20T13:49:00Z</cp:lastPrinted>
  <dcterms:created xsi:type="dcterms:W3CDTF">2016-11-08T12:36:00Z</dcterms:created>
  <dcterms:modified xsi:type="dcterms:W3CDTF">2016-11-08T12:38:00Z</dcterms:modified>
</cp:coreProperties>
</file>