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A9428D" w:rsidRDefault="00DB5341" w:rsidP="00B5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</w:t>
      </w:r>
      <w:r w:rsidR="00B552F6">
        <w:rPr>
          <w:rFonts w:ascii="Times New Roman" w:hAnsi="Times New Roman" w:cs="Times New Roman"/>
          <w:sz w:val="28"/>
          <w:szCs w:val="28"/>
        </w:rPr>
        <w:t>відділу нагляду на виробництві і на об’єктах підвищеної небезпеки Управління нагляду в промисловості і на об’єктах підвищеної небезпеки</w:t>
      </w:r>
      <w:r w:rsidR="00A9428D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B552F6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36787F" w:rsidRPr="00373615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державний нагляд у сфері діяльності, пов’язаної з </w:t>
            </w:r>
            <w:r w:rsidR="008536A6">
              <w:rPr>
                <w:rFonts w:ascii="Times New Roman" w:hAnsi="Times New Roman" w:cs="Times New Roman"/>
                <w:sz w:val="24"/>
                <w:szCs w:val="24"/>
              </w:rPr>
              <w:t>об’єктами підвищеної небезпеки та потенційно небезпечними об’єктами, з питань проведення ідентифікації та декларування безпеки об</w:t>
            </w:r>
            <w:r w:rsidR="008536A6" w:rsidRPr="008536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536A6">
              <w:rPr>
                <w:rFonts w:ascii="Times New Roman" w:hAnsi="Times New Roman" w:cs="Times New Roman"/>
                <w:sz w:val="24"/>
                <w:szCs w:val="24"/>
              </w:rPr>
              <w:t>єктів підвищеної небезпеки.</w:t>
            </w:r>
          </w:p>
          <w:p w:rsidR="008536A6" w:rsidRDefault="007D686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</w:t>
            </w:r>
            <w:r w:rsidR="007447C9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адміністративні стягнення.</w:t>
            </w:r>
          </w:p>
          <w:p w:rsidR="007447C9" w:rsidRDefault="00CA44B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Приймає участь в роботі комісій на підприємствах, установах та організаціях з перевірки знань з питань охорони працівників.</w:t>
            </w:r>
          </w:p>
          <w:p w:rsidR="00CA44B4" w:rsidRPr="007D6867" w:rsidRDefault="003A3FC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погодження проектів стандартів, технічних умов, інших документів на засоби праці та виробництва,</w:t>
            </w:r>
            <w:r w:rsidR="005E5E4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технологічні процеси.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37361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718" w:rsidRPr="00E54897" w:rsidRDefault="001A3718" w:rsidP="001A371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5E5E41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1A3718" w:rsidP="005F3D5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 лютого 2017 року, о 10 год. </w:t>
            </w:r>
            <w:r w:rsidRPr="00D04A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D04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4A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D04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4A6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D04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7727D0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Тел. (096) 171 94 81</w:t>
            </w:r>
            <w:r w:rsidR="005E5E4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B552F6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B55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України, Закон України «Про державну </w:t>
            </w:r>
            <w:r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службу» Закон України «Про очищення влади» Закон України «Про запобігання корупції», Кодекс законів про працю України,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праці», Закон України «Про об’єкти підвищеної небезпеки», Закон України «Про основні засади державного нагляду (контролю) у сфері господарської діяльності», Закон України «Про звернення громадян».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60356" w:rsidRPr="00722BA5" w:rsidRDefault="00D60356" w:rsidP="00B55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65A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96149"/>
    <w:rsid w:val="001A3718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6787F"/>
    <w:rsid w:val="00373615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3FC4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441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E41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447C9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7D6867"/>
    <w:rsid w:val="008045B6"/>
    <w:rsid w:val="00805301"/>
    <w:rsid w:val="0082072E"/>
    <w:rsid w:val="00824B1E"/>
    <w:rsid w:val="00826ABF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36A6"/>
    <w:rsid w:val="00857577"/>
    <w:rsid w:val="00860168"/>
    <w:rsid w:val="00865808"/>
    <w:rsid w:val="008704C1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0FE3"/>
    <w:rsid w:val="00B52217"/>
    <w:rsid w:val="00B52B76"/>
    <w:rsid w:val="00B552F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44B4"/>
    <w:rsid w:val="00CA6CEB"/>
    <w:rsid w:val="00CA7846"/>
    <w:rsid w:val="00CB0310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04A68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0F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2017-01-19T08:47:00Z</dcterms:created>
  <dcterms:modified xsi:type="dcterms:W3CDTF">2017-01-19T08:47:00Z</dcterms:modified>
</cp:coreProperties>
</file>