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9108" w14:textId="77777777" w:rsidR="00FF34EA" w:rsidRPr="00656F8E" w:rsidRDefault="00FF34EA" w:rsidP="00FF34EA">
      <w:pPr>
        <w:ind w:left="5506"/>
        <w:rPr>
          <w:bCs/>
          <w:sz w:val="24"/>
          <w:szCs w:val="24"/>
        </w:rPr>
      </w:pPr>
      <w:bookmarkStart w:id="0" w:name="_Hlk84599890"/>
      <w:r w:rsidRPr="00656F8E">
        <w:rPr>
          <w:bCs/>
          <w:sz w:val="24"/>
          <w:szCs w:val="24"/>
        </w:rPr>
        <w:t xml:space="preserve">ЗАТВЕРДЖЕНО </w:t>
      </w:r>
    </w:p>
    <w:p w14:paraId="22CC9E66" w14:textId="77777777" w:rsidR="00FF34EA" w:rsidRPr="00656F8E" w:rsidRDefault="00FF34EA" w:rsidP="00FF34EA">
      <w:pPr>
        <w:ind w:left="5506"/>
        <w:rPr>
          <w:bCs/>
          <w:sz w:val="24"/>
          <w:szCs w:val="24"/>
        </w:rPr>
      </w:pPr>
      <w:r w:rsidRPr="00656F8E">
        <w:rPr>
          <w:bCs/>
          <w:sz w:val="24"/>
          <w:szCs w:val="24"/>
        </w:rPr>
        <w:t>Наказ Головного управління         Держпраці у Львівській області</w:t>
      </w:r>
    </w:p>
    <w:p w14:paraId="56B4B1BC" w14:textId="77777777" w:rsidR="00C7146A" w:rsidRDefault="00C7146A" w:rsidP="00C7146A">
      <w:pPr>
        <w:ind w:left="5529"/>
        <w:rPr>
          <w:bCs/>
          <w:sz w:val="26"/>
          <w:szCs w:val="26"/>
          <w:u w:val="single"/>
        </w:rPr>
      </w:pPr>
      <w:bookmarkStart w:id="1" w:name="_GoBack"/>
      <w:bookmarkEnd w:id="0"/>
      <w:bookmarkEnd w:id="1"/>
      <w:r>
        <w:rPr>
          <w:bCs/>
          <w:sz w:val="26"/>
          <w:szCs w:val="26"/>
        </w:rPr>
        <w:t xml:space="preserve">від </w:t>
      </w:r>
      <w:r>
        <w:rPr>
          <w:bCs/>
          <w:sz w:val="26"/>
          <w:szCs w:val="26"/>
          <w:u w:val="single"/>
        </w:rPr>
        <w:t>11.10.</w:t>
      </w:r>
      <w:r>
        <w:rPr>
          <w:bCs/>
          <w:sz w:val="26"/>
          <w:szCs w:val="26"/>
        </w:rPr>
        <w:t xml:space="preserve"> 2021 року № </w:t>
      </w:r>
      <w:r>
        <w:rPr>
          <w:bCs/>
          <w:sz w:val="26"/>
          <w:szCs w:val="26"/>
          <w:u w:val="single"/>
        </w:rPr>
        <w:t>117-ОД</w:t>
      </w:r>
    </w:p>
    <w:p w14:paraId="2D7915E7" w14:textId="77777777" w:rsidR="00FF34EA" w:rsidRDefault="00FF34EA" w:rsidP="00FF34EA">
      <w:pPr>
        <w:pStyle w:val="11"/>
        <w:spacing w:before="220"/>
        <w:rPr>
          <w:b/>
          <w:spacing w:val="-1"/>
          <w:w w:val="105"/>
        </w:rPr>
      </w:pPr>
    </w:p>
    <w:p w14:paraId="28687FE6" w14:textId="3B7AFF6D" w:rsidR="00EC4DAA" w:rsidRDefault="00EC4DAA" w:rsidP="00EC4DAA">
      <w:pPr>
        <w:pStyle w:val="11"/>
        <w:spacing w:before="220"/>
        <w:ind w:right="269"/>
        <w:rPr>
          <w:b/>
          <w:w w:val="105"/>
          <w:sz w:val="24"/>
          <w:szCs w:val="24"/>
        </w:rPr>
      </w:pPr>
      <w:r w:rsidRPr="00FF34EA">
        <w:rPr>
          <w:b/>
          <w:spacing w:val="-1"/>
          <w:w w:val="105"/>
          <w:sz w:val="24"/>
          <w:szCs w:val="24"/>
        </w:rPr>
        <w:t>ІНФОРМАЦІЙНА</w:t>
      </w:r>
      <w:r w:rsidRPr="00FF34EA">
        <w:rPr>
          <w:b/>
          <w:spacing w:val="12"/>
          <w:w w:val="105"/>
          <w:sz w:val="24"/>
          <w:szCs w:val="24"/>
        </w:rPr>
        <w:t xml:space="preserve"> </w:t>
      </w:r>
      <w:r w:rsidR="00B86473" w:rsidRPr="00FF34EA">
        <w:rPr>
          <w:b/>
          <w:w w:val="105"/>
          <w:sz w:val="24"/>
          <w:szCs w:val="24"/>
        </w:rPr>
        <w:t>KAPТКА</w:t>
      </w:r>
    </w:p>
    <w:p w14:paraId="78A5CF10" w14:textId="77777777" w:rsidR="00FF34EA" w:rsidRPr="00FF34EA" w:rsidRDefault="00FF34EA" w:rsidP="00FF34EA">
      <w:pPr>
        <w:pStyle w:val="11"/>
        <w:ind w:left="1281" w:right="266"/>
        <w:rPr>
          <w:b/>
          <w:sz w:val="8"/>
          <w:szCs w:val="8"/>
        </w:rPr>
      </w:pPr>
    </w:p>
    <w:p w14:paraId="4BFF754B" w14:textId="77777777" w:rsidR="00EC4DAA" w:rsidRPr="00FF34EA" w:rsidRDefault="00EC4DAA" w:rsidP="00B033D4">
      <w:pPr>
        <w:spacing w:before="4" w:line="247" w:lineRule="auto"/>
        <w:ind w:left="284" w:right="-142" w:hanging="284"/>
        <w:jc w:val="center"/>
        <w:rPr>
          <w:b/>
          <w:sz w:val="26"/>
          <w:szCs w:val="26"/>
        </w:rPr>
      </w:pPr>
      <w:r w:rsidRPr="00FF34EA">
        <w:rPr>
          <w:b/>
          <w:sz w:val="26"/>
          <w:szCs w:val="26"/>
        </w:rPr>
        <w:t>адміністративної послуги</w:t>
      </w:r>
      <w:r w:rsidRPr="00FF34EA">
        <w:rPr>
          <w:b/>
          <w:spacing w:val="1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з видачі</w:t>
      </w:r>
      <w:r w:rsidRPr="00FF34EA">
        <w:rPr>
          <w:b/>
          <w:spacing w:val="1"/>
          <w:sz w:val="26"/>
          <w:szCs w:val="26"/>
        </w:rPr>
        <w:t xml:space="preserve"> </w:t>
      </w:r>
      <w:r w:rsidR="007D1209" w:rsidRPr="00FF34EA">
        <w:rPr>
          <w:b/>
          <w:sz w:val="26"/>
          <w:szCs w:val="26"/>
        </w:rPr>
        <w:t>гірничого</w:t>
      </w:r>
      <w:r w:rsidRPr="00FF34EA">
        <w:rPr>
          <w:b/>
          <w:spacing w:val="1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відводу д</w:t>
      </w:r>
      <w:r w:rsidR="00B033D4" w:rsidRPr="00FF34EA">
        <w:rPr>
          <w:b/>
          <w:sz w:val="26"/>
          <w:szCs w:val="26"/>
        </w:rPr>
        <w:t>л</w:t>
      </w:r>
      <w:r w:rsidRPr="00FF34EA">
        <w:rPr>
          <w:b/>
          <w:sz w:val="26"/>
          <w:szCs w:val="26"/>
        </w:rPr>
        <w:t>я</w:t>
      </w:r>
      <w:r w:rsidRPr="00FF34EA">
        <w:rPr>
          <w:b/>
          <w:spacing w:val="1"/>
          <w:sz w:val="26"/>
          <w:szCs w:val="26"/>
        </w:rPr>
        <w:t xml:space="preserve"> </w:t>
      </w:r>
      <w:r w:rsidR="00B033D4" w:rsidRPr="00FF34EA">
        <w:rPr>
          <w:b/>
          <w:spacing w:val="1"/>
          <w:sz w:val="26"/>
          <w:szCs w:val="26"/>
        </w:rPr>
        <w:t>р</w:t>
      </w:r>
      <w:r w:rsidRPr="00FF34EA">
        <w:rPr>
          <w:b/>
          <w:sz w:val="26"/>
          <w:szCs w:val="26"/>
        </w:rPr>
        <w:t>озробки</w:t>
      </w:r>
      <w:r w:rsidRPr="00FF34EA">
        <w:rPr>
          <w:b/>
          <w:spacing w:val="1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родовищ</w:t>
      </w:r>
      <w:r w:rsidR="00B033D4" w:rsidRPr="00FF34EA">
        <w:rPr>
          <w:b/>
          <w:sz w:val="26"/>
          <w:szCs w:val="26"/>
        </w:rPr>
        <w:t xml:space="preserve"> </w:t>
      </w:r>
      <w:r w:rsidRPr="00FF34EA">
        <w:rPr>
          <w:b/>
          <w:spacing w:val="-67"/>
          <w:sz w:val="26"/>
          <w:szCs w:val="26"/>
        </w:rPr>
        <w:t xml:space="preserve"> </w:t>
      </w:r>
      <w:r w:rsidR="007D1209" w:rsidRPr="00FF34EA">
        <w:rPr>
          <w:b/>
          <w:sz w:val="26"/>
          <w:szCs w:val="26"/>
        </w:rPr>
        <w:t>корисних</w:t>
      </w:r>
      <w:r w:rsidRPr="00FF34EA">
        <w:rPr>
          <w:b/>
          <w:spacing w:val="35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копалин</w:t>
      </w:r>
      <w:r w:rsidRPr="00FF34EA">
        <w:rPr>
          <w:b/>
          <w:spacing w:val="48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місцевого</w:t>
      </w:r>
      <w:r w:rsidRPr="00FF34EA">
        <w:rPr>
          <w:b/>
          <w:spacing w:val="29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значен</w:t>
      </w:r>
      <w:r w:rsidR="00B033D4" w:rsidRPr="00FF34EA">
        <w:rPr>
          <w:b/>
          <w:sz w:val="26"/>
          <w:szCs w:val="26"/>
        </w:rPr>
        <w:t>н</w:t>
      </w:r>
      <w:r w:rsidRPr="00FF34EA">
        <w:rPr>
          <w:b/>
          <w:sz w:val="26"/>
          <w:szCs w:val="26"/>
        </w:rPr>
        <w:t>я</w:t>
      </w:r>
    </w:p>
    <w:p w14:paraId="15FD77DE" w14:textId="77777777" w:rsidR="00492925" w:rsidRPr="00FF34EA" w:rsidRDefault="00492925" w:rsidP="00D547A5">
      <w:pPr>
        <w:pStyle w:val="a3"/>
        <w:spacing w:before="6"/>
        <w:jc w:val="center"/>
        <w:rPr>
          <w:rFonts w:ascii="Cambria" w:hAnsi="Cambria"/>
          <w:spacing w:val="-1"/>
          <w:w w:val="90"/>
          <w:szCs w:val="32"/>
        </w:rPr>
      </w:pPr>
    </w:p>
    <w:p w14:paraId="37EC2C02" w14:textId="77777777" w:rsidR="00492925" w:rsidRPr="00492925" w:rsidRDefault="00492925" w:rsidP="00D547A5">
      <w:pPr>
        <w:pStyle w:val="a3"/>
        <w:spacing w:before="6"/>
        <w:jc w:val="center"/>
        <w:rPr>
          <w:rFonts w:ascii="Cambria" w:hAnsi="Cambria"/>
          <w:b/>
          <w:spacing w:val="-1"/>
          <w:sz w:val="26"/>
          <w:szCs w:val="26"/>
          <w:u w:val="single"/>
        </w:rPr>
      </w:pPr>
      <w:r w:rsidRPr="00492925">
        <w:rPr>
          <w:rFonts w:ascii="Cambria" w:hAnsi="Cambria"/>
          <w:b/>
          <w:spacing w:val="-1"/>
          <w:sz w:val="26"/>
          <w:szCs w:val="26"/>
          <w:u w:val="single"/>
        </w:rPr>
        <w:t>Головне управління Держпраці у Львівській області</w:t>
      </w:r>
    </w:p>
    <w:p w14:paraId="7A611094" w14:textId="13021312" w:rsidR="00EC4DAA" w:rsidRPr="00FF34EA" w:rsidRDefault="00EC4DAA" w:rsidP="00D547A5">
      <w:pPr>
        <w:pStyle w:val="a3"/>
        <w:spacing w:before="6"/>
        <w:jc w:val="center"/>
        <w:rPr>
          <w:sz w:val="20"/>
        </w:rPr>
      </w:pPr>
      <w:r w:rsidRPr="00FF34EA">
        <w:rPr>
          <w:spacing w:val="-1"/>
          <w:w w:val="90"/>
          <w:sz w:val="20"/>
        </w:rPr>
        <w:t>(</w:t>
      </w:r>
      <w:r w:rsidRPr="00FF34EA">
        <w:rPr>
          <w:spacing w:val="-1"/>
          <w:sz w:val="20"/>
        </w:rPr>
        <w:t>найменування</w:t>
      </w:r>
      <w:r w:rsidRPr="00FF34EA">
        <w:rPr>
          <w:spacing w:val="31"/>
          <w:sz w:val="20"/>
        </w:rPr>
        <w:t xml:space="preserve"> </w:t>
      </w:r>
      <w:r w:rsidRPr="00FF34EA">
        <w:rPr>
          <w:spacing w:val="-1"/>
          <w:sz w:val="20"/>
        </w:rPr>
        <w:t>cy6’</w:t>
      </w:r>
      <w:r w:rsidR="00D547A5" w:rsidRPr="00FF34EA">
        <w:rPr>
          <w:spacing w:val="-1"/>
          <w:sz w:val="20"/>
        </w:rPr>
        <w:t>є</w:t>
      </w:r>
      <w:r w:rsidRPr="00FF34EA">
        <w:rPr>
          <w:spacing w:val="-1"/>
          <w:sz w:val="20"/>
        </w:rPr>
        <w:t>ктa</w:t>
      </w:r>
      <w:r w:rsidRPr="00FF34EA">
        <w:rPr>
          <w:spacing w:val="19"/>
          <w:sz w:val="20"/>
        </w:rPr>
        <w:t xml:space="preserve"> </w:t>
      </w:r>
      <w:r w:rsidRPr="00FF34EA">
        <w:rPr>
          <w:spacing w:val="-1"/>
          <w:sz w:val="20"/>
        </w:rPr>
        <w:t>надання</w:t>
      </w:r>
      <w:r w:rsidRPr="00FF34EA">
        <w:rPr>
          <w:spacing w:val="25"/>
          <w:sz w:val="20"/>
        </w:rPr>
        <w:t xml:space="preserve"> </w:t>
      </w:r>
      <w:r w:rsidR="00DE3561" w:rsidRPr="00FF34EA">
        <w:rPr>
          <w:spacing w:val="-1"/>
          <w:sz w:val="20"/>
        </w:rPr>
        <w:t>адміністративної</w:t>
      </w:r>
      <w:r w:rsidRPr="00FF34EA">
        <w:rPr>
          <w:spacing w:val="18"/>
          <w:sz w:val="20"/>
        </w:rPr>
        <w:t xml:space="preserve"> </w:t>
      </w:r>
      <w:r w:rsidRPr="00FF34EA">
        <w:rPr>
          <w:spacing w:val="-1"/>
          <w:sz w:val="20"/>
        </w:rPr>
        <w:t>послуг</w:t>
      </w:r>
      <w:r w:rsidR="00D547A5" w:rsidRPr="00FF34EA">
        <w:rPr>
          <w:spacing w:val="-1"/>
          <w:sz w:val="20"/>
        </w:rPr>
        <w:t>и</w:t>
      </w:r>
      <w:r w:rsidRPr="00FF34EA">
        <w:rPr>
          <w:w w:val="90"/>
          <w:sz w:val="20"/>
        </w:rPr>
        <w:t>)</w:t>
      </w:r>
    </w:p>
    <w:p w14:paraId="78C60562" w14:textId="77777777" w:rsidR="00EC4DAA" w:rsidRDefault="00EC4DAA" w:rsidP="00EC4DAA">
      <w:pPr>
        <w:pStyle w:val="a3"/>
        <w:spacing w:before="1" w:after="1"/>
        <w:rPr>
          <w:rFonts w:ascii="Cambria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778"/>
      </w:tblGrid>
      <w:tr w:rsidR="00953B7A" w14:paraId="4F11BF95" w14:textId="77777777" w:rsidTr="00D922B7">
        <w:tc>
          <w:tcPr>
            <w:tcW w:w="9855" w:type="dxa"/>
            <w:gridSpan w:val="3"/>
          </w:tcPr>
          <w:p w14:paraId="5FC9781C" w14:textId="34F46B72" w:rsidR="00953B7A" w:rsidRPr="00AD2CF0" w:rsidRDefault="00953B7A" w:rsidP="00953B7A">
            <w:pPr>
              <w:pStyle w:val="TableParagraph"/>
              <w:spacing w:before="15"/>
              <w:ind w:left="405" w:right="177"/>
              <w:jc w:val="center"/>
              <w:rPr>
                <w:sz w:val="24"/>
                <w:szCs w:val="24"/>
              </w:rPr>
            </w:pPr>
            <w:r w:rsidRPr="00AD2CF0">
              <w:rPr>
                <w:b/>
                <w:w w:val="105"/>
                <w:sz w:val="24"/>
                <w:szCs w:val="24"/>
              </w:rPr>
              <w:t>Інформація</w:t>
            </w:r>
            <w:r w:rsidRPr="00AD2CF0"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про</w:t>
            </w:r>
            <w:r w:rsidRPr="00AD2CF0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AD2CF0">
              <w:rPr>
                <w:b/>
                <w:w w:val="105"/>
                <w:sz w:val="24"/>
                <w:szCs w:val="24"/>
              </w:rPr>
              <w:t>cy</w:t>
            </w:r>
            <w:r w:rsidR="00FC4425">
              <w:rPr>
                <w:b/>
                <w:w w:val="105"/>
                <w:sz w:val="24"/>
                <w:szCs w:val="24"/>
              </w:rPr>
              <w:t>б</w:t>
            </w:r>
            <w:r w:rsidRPr="00AD2CF0">
              <w:rPr>
                <w:b/>
                <w:w w:val="105"/>
                <w:sz w:val="24"/>
                <w:szCs w:val="24"/>
              </w:rPr>
              <w:t>’єкта</w:t>
            </w:r>
            <w:proofErr w:type="spellEnd"/>
            <w:r w:rsidRPr="00AD2CF0">
              <w:rPr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надання</w:t>
            </w:r>
            <w:r w:rsidRPr="00AD2CF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адміністративної</w:t>
            </w:r>
            <w:r w:rsidRPr="00AD2CF0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послуги</w:t>
            </w:r>
            <w:r w:rsidRPr="00AD2CF0"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та/або</w:t>
            </w:r>
            <w:r w:rsidRPr="00AD2CF0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центру</w:t>
            </w:r>
            <w:r w:rsidRPr="00AD2CF0">
              <w:rPr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 xml:space="preserve">надання </w:t>
            </w:r>
            <w:r w:rsidRPr="00AD2CF0">
              <w:rPr>
                <w:b/>
                <w:w w:val="110"/>
                <w:sz w:val="24"/>
                <w:szCs w:val="24"/>
              </w:rPr>
              <w:t>адміністративних</w:t>
            </w:r>
            <w:r w:rsidRPr="00AD2CF0">
              <w:rPr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AD2CF0">
              <w:rPr>
                <w:b/>
                <w:w w:val="110"/>
                <w:sz w:val="24"/>
                <w:szCs w:val="24"/>
              </w:rPr>
              <w:t>послуг</w:t>
            </w:r>
          </w:p>
        </w:tc>
      </w:tr>
      <w:tr w:rsidR="00CA6173" w14:paraId="447E0595" w14:textId="77777777" w:rsidTr="00D922B7">
        <w:tc>
          <w:tcPr>
            <w:tcW w:w="534" w:type="dxa"/>
            <w:vAlign w:val="center"/>
          </w:tcPr>
          <w:p w14:paraId="76EFA92B" w14:textId="77777777" w:rsidR="00CA6173" w:rsidRDefault="00CA6173" w:rsidP="00FF34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39D4125A" w14:textId="0CABE799" w:rsidR="00CA6173" w:rsidRPr="00AD2CF0" w:rsidRDefault="00CA6173" w:rsidP="00FF34EA">
            <w:pPr>
              <w:pStyle w:val="TableParagraph"/>
              <w:spacing w:before="12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AD2CF0">
              <w:rPr>
                <w:sz w:val="24"/>
                <w:szCs w:val="24"/>
              </w:rPr>
              <w:t>Місцезнаходження</w:t>
            </w:r>
            <w:r w:rsidRPr="00AD2CF0">
              <w:rPr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4373973E" w14:textId="3D8B27F5" w:rsidR="001C151C" w:rsidRPr="00AD2CF0" w:rsidRDefault="00FF34EA" w:rsidP="00FF34E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F34EA">
              <w:rPr>
                <w:sz w:val="24"/>
                <w:szCs w:val="24"/>
              </w:rPr>
              <w:t>м. Львів, пл. Міцкевича, 8, 79000</w:t>
            </w:r>
          </w:p>
        </w:tc>
      </w:tr>
      <w:tr w:rsidR="00CA6173" w14:paraId="43A8E3A7" w14:textId="77777777" w:rsidTr="00D922B7">
        <w:tc>
          <w:tcPr>
            <w:tcW w:w="534" w:type="dxa"/>
            <w:vAlign w:val="center"/>
          </w:tcPr>
          <w:p w14:paraId="31A8F9B9" w14:textId="77777777" w:rsidR="00CA6173" w:rsidRDefault="00CA6173" w:rsidP="00CA6173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14:paraId="3A810AD2" w14:textId="5438A2CD" w:rsidR="00FF34EA" w:rsidRPr="00AD2CF0" w:rsidRDefault="00CA6173" w:rsidP="00FF34EA">
            <w:pPr>
              <w:pStyle w:val="TableParagraph"/>
              <w:spacing w:line="0" w:lineRule="atLeast"/>
              <w:ind w:left="57"/>
              <w:rPr>
                <w:sz w:val="24"/>
                <w:szCs w:val="24"/>
              </w:rPr>
            </w:pPr>
            <w:r w:rsidRPr="00AD2CF0">
              <w:rPr>
                <w:w w:val="105"/>
                <w:sz w:val="24"/>
                <w:szCs w:val="24"/>
              </w:rPr>
              <w:t>Інформація щодо реж</w:t>
            </w:r>
            <w:r w:rsidR="00FF34EA">
              <w:rPr>
                <w:w w:val="105"/>
                <w:sz w:val="24"/>
                <w:szCs w:val="24"/>
              </w:rPr>
              <w:t>и</w:t>
            </w:r>
            <w:r w:rsidRPr="00AD2CF0">
              <w:rPr>
                <w:w w:val="105"/>
                <w:sz w:val="24"/>
                <w:szCs w:val="24"/>
              </w:rPr>
              <w:t>му</w:t>
            </w:r>
            <w:r w:rsidRPr="00AD2CF0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w w:val="105"/>
                <w:sz w:val="24"/>
                <w:szCs w:val="24"/>
              </w:rPr>
              <w:t>роботи</w:t>
            </w:r>
            <w:r w:rsidRPr="00AD2CF0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0388E140" w14:textId="3DB1C57E" w:rsidR="00CA6173" w:rsidRPr="00AD2CF0" w:rsidRDefault="00CA6173" w:rsidP="00CA6173">
            <w:pPr>
              <w:pStyle w:val="TableParagraph"/>
              <w:spacing w:before="15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3AEE2448" w14:textId="77777777" w:rsidR="00FF34EA" w:rsidRPr="00CA7074" w:rsidRDefault="00FF34EA" w:rsidP="00FF34EA">
            <w:pPr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понеділок –  четвер: 08:00 – 17:00</w:t>
            </w:r>
          </w:p>
          <w:p w14:paraId="5CF29ED1" w14:textId="77777777" w:rsidR="00FF34EA" w:rsidRPr="00CA7074" w:rsidRDefault="00FF34EA" w:rsidP="00FF34EA">
            <w:pPr>
              <w:adjustRightInd w:val="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 xml:space="preserve">п’ятниця:                   08:00 – 15:45 </w:t>
            </w:r>
          </w:p>
          <w:p w14:paraId="62C3AEC3" w14:textId="77777777" w:rsidR="00FF34EA" w:rsidRPr="00CA7074" w:rsidRDefault="00FF34EA" w:rsidP="00FF34EA">
            <w:pPr>
              <w:adjustRightInd w:val="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 xml:space="preserve">обідня перерва: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074">
              <w:rPr>
                <w:color w:val="000000"/>
                <w:sz w:val="24"/>
                <w:szCs w:val="24"/>
              </w:rPr>
              <w:t>12:00 – 12:45</w:t>
            </w:r>
          </w:p>
          <w:p w14:paraId="6AA7D525" w14:textId="08144BD4" w:rsidR="001C151C" w:rsidRPr="00AD2CF0" w:rsidRDefault="00FF34EA" w:rsidP="00FF34EA">
            <w:pPr>
              <w:jc w:val="both"/>
              <w:rPr>
                <w:sz w:val="24"/>
                <w:szCs w:val="24"/>
                <w:vertAlign w:val="superscript"/>
              </w:rPr>
            </w:pPr>
            <w:r w:rsidRPr="00CA7074">
              <w:rPr>
                <w:color w:val="000000"/>
                <w:sz w:val="24"/>
                <w:szCs w:val="24"/>
              </w:rPr>
              <w:t xml:space="preserve">субота, неділя: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074">
              <w:rPr>
                <w:color w:val="000000"/>
                <w:sz w:val="24"/>
                <w:szCs w:val="24"/>
              </w:rPr>
              <w:t xml:space="preserve"> вихідний</w:t>
            </w:r>
          </w:p>
        </w:tc>
      </w:tr>
      <w:tr w:rsidR="00CA6173" w14:paraId="57C41874" w14:textId="77777777" w:rsidTr="00D922B7">
        <w:tc>
          <w:tcPr>
            <w:tcW w:w="534" w:type="dxa"/>
            <w:vAlign w:val="center"/>
          </w:tcPr>
          <w:p w14:paraId="41325722" w14:textId="77777777" w:rsidR="00CA6173" w:rsidRDefault="00CA6173" w:rsidP="00FF34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3" w:type="dxa"/>
          </w:tcPr>
          <w:p w14:paraId="4345888C" w14:textId="77777777" w:rsidR="00CA6173" w:rsidRPr="00FF34EA" w:rsidRDefault="00CA6173" w:rsidP="00FF34EA">
            <w:pPr>
              <w:pStyle w:val="TableParagraph"/>
              <w:spacing w:before="120" w:after="120" w:line="261" w:lineRule="exact"/>
              <w:ind w:left="362"/>
              <w:jc w:val="center"/>
              <w:rPr>
                <w:sz w:val="24"/>
                <w:szCs w:val="24"/>
              </w:rPr>
            </w:pPr>
            <w:r w:rsidRPr="00FF34EA">
              <w:rPr>
                <w:w w:val="95"/>
                <w:sz w:val="24"/>
                <w:szCs w:val="24"/>
              </w:rPr>
              <w:t>Телефон/факс</w:t>
            </w:r>
            <w:r w:rsidRPr="00FF34EA">
              <w:rPr>
                <w:spacing w:val="69"/>
                <w:sz w:val="24"/>
                <w:szCs w:val="24"/>
              </w:rPr>
              <w:t xml:space="preserve"> </w:t>
            </w:r>
            <w:r w:rsidRPr="00FF34EA">
              <w:rPr>
                <w:w w:val="95"/>
                <w:sz w:val="24"/>
                <w:szCs w:val="24"/>
              </w:rPr>
              <w:t>(довідки),</w:t>
            </w:r>
          </w:p>
          <w:p w14:paraId="182EF021" w14:textId="0518D891" w:rsidR="00CA6173" w:rsidRPr="00AD2CF0" w:rsidRDefault="00CA6173" w:rsidP="00FF34EA">
            <w:pPr>
              <w:pStyle w:val="TableParagraph"/>
              <w:spacing w:before="12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FF34EA">
              <w:rPr>
                <w:sz w:val="24"/>
                <w:szCs w:val="24"/>
              </w:rPr>
              <w:t>адреса</w:t>
            </w:r>
            <w:r w:rsidRPr="00FF34EA">
              <w:rPr>
                <w:spacing w:val="-11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електронної</w:t>
            </w:r>
            <w:r w:rsidRPr="00FF34EA">
              <w:rPr>
                <w:spacing w:val="2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пошти</w:t>
            </w:r>
            <w:r w:rsidRPr="00FF34EA">
              <w:rPr>
                <w:spacing w:val="-7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та</w:t>
            </w:r>
            <w:r w:rsidRPr="00FF34EA">
              <w:rPr>
                <w:spacing w:val="-57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веб</w:t>
            </w:r>
            <w:r w:rsidR="00FF34EA" w:rsidRPr="00FF34EA">
              <w:rPr>
                <w:sz w:val="24"/>
                <w:szCs w:val="24"/>
              </w:rPr>
              <w:t>-</w:t>
            </w:r>
            <w:r w:rsidRPr="00FF34EA">
              <w:rPr>
                <w:sz w:val="24"/>
                <w:szCs w:val="24"/>
              </w:rPr>
              <w:t>сайт</w:t>
            </w:r>
            <w:r w:rsidRPr="00AD2CF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18CB9E4C" w14:textId="77777777" w:rsidR="00FF34EA" w:rsidRPr="00CA7074" w:rsidRDefault="00FF34EA" w:rsidP="00FF34EA">
            <w:pPr>
              <w:adjustRightInd w:val="0"/>
              <w:spacing w:before="120" w:after="60"/>
              <w:rPr>
                <w:sz w:val="24"/>
                <w:szCs w:val="24"/>
              </w:rPr>
            </w:pPr>
            <w:proofErr w:type="spellStart"/>
            <w:r w:rsidRPr="00CA7074">
              <w:rPr>
                <w:sz w:val="24"/>
                <w:szCs w:val="24"/>
              </w:rPr>
              <w:t>тел</w:t>
            </w:r>
            <w:proofErr w:type="spellEnd"/>
            <w:r w:rsidRPr="00CA7074">
              <w:rPr>
                <w:sz w:val="24"/>
                <w:szCs w:val="24"/>
              </w:rPr>
              <w:t>./факс (032) 235-76-73</w:t>
            </w:r>
          </w:p>
          <w:p w14:paraId="56848FE4" w14:textId="77777777" w:rsidR="00FF34EA" w:rsidRPr="00CA7074" w:rsidRDefault="00FF34EA" w:rsidP="00FF34EA">
            <w:pPr>
              <w:adjustRightInd w:val="0"/>
              <w:spacing w:before="120" w:after="60"/>
              <w:rPr>
                <w:rStyle w:val="a6"/>
                <w:sz w:val="24"/>
                <w:szCs w:val="24"/>
              </w:rPr>
            </w:pPr>
            <w:proofErr w:type="spellStart"/>
            <w:r w:rsidRPr="00CA707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CA7074">
              <w:rPr>
                <w:color w:val="000000"/>
                <w:sz w:val="24"/>
                <w:szCs w:val="24"/>
              </w:rPr>
              <w:t>. пошта</w:t>
            </w:r>
            <w:r w:rsidRPr="00CA7074">
              <w:rPr>
                <w:sz w:val="24"/>
                <w:szCs w:val="24"/>
              </w:rPr>
              <w:t>: dsp@lviv.dsp.gov.ua</w:t>
            </w:r>
            <w:r w:rsidRPr="00CA7074">
              <w:rPr>
                <w:rStyle w:val="a6"/>
                <w:sz w:val="24"/>
                <w:szCs w:val="24"/>
              </w:rPr>
              <w:t xml:space="preserve"> </w:t>
            </w:r>
          </w:p>
          <w:p w14:paraId="17F9732C" w14:textId="36910634" w:rsidR="00964BA6" w:rsidRPr="00FF34EA" w:rsidRDefault="00C7146A" w:rsidP="00FF34EA">
            <w:pPr>
              <w:spacing w:before="120" w:after="120"/>
              <w:jc w:val="both"/>
              <w:rPr>
                <w:sz w:val="24"/>
                <w:szCs w:val="24"/>
              </w:rPr>
            </w:pPr>
            <w:hyperlink r:id="rId6" w:history="1"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lviv</w:t>
              </w:r>
              <w:proofErr w:type="spellEnd"/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dsp</w:t>
              </w:r>
              <w:proofErr w:type="spellEnd"/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gov</w:t>
              </w:r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FF34EA" w:rsidRPr="00FF34EA">
              <w:rPr>
                <w:sz w:val="24"/>
                <w:szCs w:val="24"/>
              </w:rPr>
              <w:t>/</w:t>
            </w:r>
          </w:p>
        </w:tc>
      </w:tr>
      <w:tr w:rsidR="006A0EA1" w14:paraId="11F8089A" w14:textId="77777777" w:rsidTr="00D922B7">
        <w:tc>
          <w:tcPr>
            <w:tcW w:w="9855" w:type="dxa"/>
            <w:gridSpan w:val="3"/>
            <w:vAlign w:val="center"/>
          </w:tcPr>
          <w:p w14:paraId="0904A343" w14:textId="45D694A2" w:rsidR="006A0EA1" w:rsidRPr="00CA7074" w:rsidRDefault="006A0EA1" w:rsidP="006A0EA1">
            <w:pPr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A7074">
              <w:rPr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D922B7" w14:paraId="31CB0FB1" w14:textId="77777777" w:rsidTr="00D922B7">
        <w:tc>
          <w:tcPr>
            <w:tcW w:w="534" w:type="dxa"/>
            <w:vAlign w:val="center"/>
          </w:tcPr>
          <w:p w14:paraId="70C122B2" w14:textId="101F6FF1" w:rsidR="00D922B7" w:rsidRDefault="00D922B7" w:rsidP="00D922B7">
            <w:pPr>
              <w:spacing w:before="120" w:after="120"/>
              <w:jc w:val="center"/>
            </w:pPr>
          </w:p>
        </w:tc>
        <w:tc>
          <w:tcPr>
            <w:tcW w:w="3543" w:type="dxa"/>
          </w:tcPr>
          <w:p w14:paraId="58531F04" w14:textId="50D43354" w:rsidR="00D922B7" w:rsidRPr="00AD2CF0" w:rsidRDefault="00D922B7" w:rsidP="00D922B7">
            <w:pPr>
              <w:pStyle w:val="TableParagraph"/>
              <w:spacing w:before="12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CA7074">
              <w:rPr>
                <w:sz w:val="24"/>
                <w:szCs w:val="24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78" w:type="dxa"/>
          </w:tcPr>
          <w:p w14:paraId="77C205D0" w14:textId="77777777" w:rsidR="00D922B7" w:rsidRPr="00CA7074" w:rsidRDefault="00D922B7" w:rsidP="00D92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965F6C5" w14:textId="77777777" w:rsidR="00D922B7" w:rsidRPr="00490D2D" w:rsidRDefault="00D922B7" w:rsidP="00D922B7">
            <w:pPr>
              <w:spacing w:before="120" w:after="120"/>
              <w:rPr>
                <w:bCs/>
                <w:sz w:val="24"/>
                <w:szCs w:val="24"/>
              </w:rPr>
            </w:pPr>
            <w:r w:rsidRPr="00490D2D">
              <w:rPr>
                <w:bCs/>
                <w:sz w:val="24"/>
                <w:szCs w:val="24"/>
              </w:rPr>
              <w:t>Центр надання адміністративних послуг м. Львова</w:t>
            </w:r>
          </w:p>
          <w:p w14:paraId="008CBA13" w14:textId="5625DA42" w:rsidR="00D922B7" w:rsidRPr="00FF34EA" w:rsidRDefault="00D922B7" w:rsidP="00D922B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922B7" w14:paraId="2F1FC27B" w14:textId="77777777" w:rsidTr="00E65451">
        <w:tc>
          <w:tcPr>
            <w:tcW w:w="534" w:type="dxa"/>
          </w:tcPr>
          <w:p w14:paraId="3BD5BBF6" w14:textId="7DDE57F7" w:rsidR="00D922B7" w:rsidRDefault="00D922B7" w:rsidP="00D922B7">
            <w:pPr>
              <w:spacing w:before="120" w:after="120"/>
              <w:jc w:val="center"/>
            </w:pPr>
            <w:r w:rsidRPr="00CA70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119897D3" w14:textId="55E19CAF" w:rsidR="00D922B7" w:rsidRPr="00CA7074" w:rsidRDefault="00D922B7" w:rsidP="00D922B7">
            <w:pPr>
              <w:pStyle w:val="TableParagraph"/>
              <w:spacing w:before="12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Місцезнаходження центру надання адміністративних послуг та його відділень</w:t>
            </w:r>
          </w:p>
        </w:tc>
        <w:tc>
          <w:tcPr>
            <w:tcW w:w="5778" w:type="dxa"/>
          </w:tcPr>
          <w:p w14:paraId="4B44CC73" w14:textId="77777777" w:rsidR="00D922B7" w:rsidRPr="00490D2D" w:rsidRDefault="00D922B7" w:rsidP="00D922B7">
            <w:pPr>
              <w:adjustRightInd w:val="0"/>
              <w:ind w:left="936" w:right="89" w:hanging="936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м. </w:t>
            </w:r>
            <w:r w:rsidRPr="00490D2D">
              <w:rPr>
                <w:rFonts w:eastAsia="Calibri"/>
                <w:color w:val="000000"/>
                <w:sz w:val="24"/>
                <w:szCs w:val="28"/>
              </w:rPr>
              <w:t>Львів: пл. Ринок, 1 (вхід з бічної сторони Ратуші);                        пр.</w:t>
            </w: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 Червоної Калини, 72а; вул. К. Левицького, 67; вул. І. Виговського, 32; вул. М. Хвильового, 14а;</w:t>
            </w:r>
            <w:r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 </w:t>
            </w: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вул. Ген. Чупринки, 85; вул. Шевченка, 374; </w:t>
            </w:r>
          </w:p>
          <w:p w14:paraId="296440AE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sz w:val="24"/>
                <w:szCs w:val="28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смт. Брюховичі, вул. В. Івасюка, 2-А;</w:t>
            </w:r>
            <w:r w:rsidRPr="00490D2D">
              <w:rPr>
                <w:rFonts w:eastAsia="Calibri"/>
                <w:sz w:val="24"/>
                <w:szCs w:val="28"/>
              </w:rPr>
              <w:t xml:space="preserve"> </w:t>
            </w:r>
          </w:p>
          <w:p w14:paraId="06121214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смт. Рудне, вул. Грушевського, 55; </w:t>
            </w:r>
          </w:p>
          <w:p w14:paraId="7E4C4BF3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sz w:val="24"/>
                <w:szCs w:val="28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м. Винники, вул. Галицька, 12;</w:t>
            </w:r>
            <w:r w:rsidRPr="00490D2D">
              <w:rPr>
                <w:rFonts w:eastAsia="Calibri"/>
                <w:sz w:val="24"/>
                <w:szCs w:val="28"/>
              </w:rPr>
              <w:t xml:space="preserve"> </w:t>
            </w:r>
          </w:p>
          <w:p w14:paraId="500A9C71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м. Дубляни, вул. Тараса Шевченка, 4;</w:t>
            </w:r>
          </w:p>
          <w:p w14:paraId="42207BEF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с. Зашків, вул. Є. Коновальця, 110А;</w:t>
            </w:r>
          </w:p>
          <w:p w14:paraId="01CC7914" w14:textId="77777777" w:rsidR="00831212" w:rsidRDefault="00D922B7" w:rsidP="00831212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с. Лисиничі, вул. Шевченка, 48;</w:t>
            </w:r>
          </w:p>
          <w:p w14:paraId="260529C2" w14:textId="64573D03" w:rsidR="00D922B7" w:rsidRPr="00CA7074" w:rsidRDefault="00D922B7" w:rsidP="00831212">
            <w:pPr>
              <w:adjustRightInd w:val="0"/>
              <w:ind w:right="89"/>
              <w:jc w:val="both"/>
              <w:rPr>
                <w:b/>
                <w:sz w:val="24"/>
                <w:szCs w:val="24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с. Рясне-Руське, пл. Незалежності, 1;</w:t>
            </w:r>
          </w:p>
        </w:tc>
      </w:tr>
      <w:tr w:rsidR="00D922B7" w14:paraId="57F49CD9" w14:textId="77777777" w:rsidTr="00E65451">
        <w:tc>
          <w:tcPr>
            <w:tcW w:w="534" w:type="dxa"/>
          </w:tcPr>
          <w:p w14:paraId="1F56913C" w14:textId="6053C36A" w:rsidR="00D922B7" w:rsidRPr="00CA7074" w:rsidRDefault="00D922B7" w:rsidP="00D92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70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70E7640" w14:textId="087CA4F5" w:rsidR="00D922B7" w:rsidRPr="00CA7074" w:rsidRDefault="00D922B7" w:rsidP="00D922B7">
            <w:pPr>
              <w:pStyle w:val="TableParagraph"/>
              <w:spacing w:before="120" w:after="120" w:line="0" w:lineRule="atLeast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78" w:type="dxa"/>
          </w:tcPr>
          <w:p w14:paraId="30D1109D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понеділок: 09:00 – 18:00</w:t>
            </w:r>
          </w:p>
          <w:p w14:paraId="5F77270F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вівторок:    09:00 – 18:00</w:t>
            </w:r>
          </w:p>
          <w:p w14:paraId="792243FC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середа:       09:00 – 18:00</w:t>
            </w:r>
          </w:p>
          <w:p w14:paraId="32971D13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четвер:       09:00 – 18:00</w:t>
            </w:r>
          </w:p>
          <w:p w14:paraId="6A43258F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 xml:space="preserve">п’ятниця:   09:00 – 17:00 </w:t>
            </w:r>
          </w:p>
          <w:p w14:paraId="2D04DFFA" w14:textId="77777777" w:rsidR="00D922B7" w:rsidRPr="00490D2D" w:rsidRDefault="00D922B7" w:rsidP="00D922B7">
            <w:pPr>
              <w:jc w:val="both"/>
              <w:rPr>
                <w:rFonts w:eastAsia="Calibri"/>
                <w:sz w:val="24"/>
                <w:szCs w:val="28"/>
              </w:rPr>
            </w:pPr>
            <w:r w:rsidRPr="00490D2D">
              <w:rPr>
                <w:rFonts w:eastAsia="Calibri"/>
                <w:sz w:val="24"/>
                <w:szCs w:val="28"/>
              </w:rPr>
              <w:t xml:space="preserve">субота, неділя: вихідний </w:t>
            </w:r>
          </w:p>
          <w:p w14:paraId="60DB4BB7" w14:textId="2F114B6B" w:rsidR="00D922B7" w:rsidRDefault="00D922B7" w:rsidP="00D922B7">
            <w:pPr>
              <w:adjustRightInd w:val="0"/>
              <w:ind w:left="936" w:right="89" w:hanging="936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i/>
                <w:iCs/>
                <w:sz w:val="24"/>
                <w:szCs w:val="28"/>
                <w:lang w:eastAsia="uk-UA"/>
              </w:rPr>
              <w:t>Робота центрів ведеться без обідньої перерви.</w:t>
            </w:r>
          </w:p>
        </w:tc>
      </w:tr>
      <w:tr w:rsidR="00D922B7" w14:paraId="3A898422" w14:textId="77777777" w:rsidTr="00E65451">
        <w:tc>
          <w:tcPr>
            <w:tcW w:w="534" w:type="dxa"/>
          </w:tcPr>
          <w:p w14:paraId="4EA6103B" w14:textId="31C83AF5" w:rsidR="00D922B7" w:rsidRPr="00CA7074" w:rsidRDefault="00D922B7" w:rsidP="00D92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707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14:paraId="53C9847E" w14:textId="698AA5D6" w:rsidR="00D922B7" w:rsidRPr="00CA7074" w:rsidRDefault="00D922B7" w:rsidP="00D922B7">
            <w:pPr>
              <w:pStyle w:val="TableParagraph"/>
              <w:spacing w:before="120" w:after="120" w:line="0" w:lineRule="atLeast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Телефон/факс (довідки), адреса електронної адреси та веб-сайт центру надання адміністративних послуг</w:t>
            </w:r>
          </w:p>
        </w:tc>
        <w:tc>
          <w:tcPr>
            <w:tcW w:w="5778" w:type="dxa"/>
          </w:tcPr>
          <w:p w14:paraId="070904F9" w14:textId="77777777" w:rsidR="00D922B7" w:rsidRPr="00CA7074" w:rsidRDefault="00D922B7" w:rsidP="00D922B7">
            <w:pPr>
              <w:spacing w:before="120" w:after="6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телефон: 297-57-95</w:t>
            </w:r>
          </w:p>
          <w:p w14:paraId="00106C19" w14:textId="77777777" w:rsidR="00D922B7" w:rsidRPr="00CA7074" w:rsidRDefault="00D922B7" w:rsidP="00D922B7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A707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CA7074">
              <w:rPr>
                <w:color w:val="000000"/>
                <w:sz w:val="24"/>
                <w:szCs w:val="24"/>
              </w:rPr>
              <w:t xml:space="preserve">. адреса: </w:t>
            </w:r>
            <w:proofErr w:type="spellStart"/>
            <w:r w:rsidRPr="00CA7074">
              <w:rPr>
                <w:sz w:val="24"/>
                <w:szCs w:val="24"/>
              </w:rPr>
              <w:t>service_center@lvivcity</w:t>
            </w:r>
            <w:proofErr w:type="spellEnd"/>
            <w:r w:rsidRPr="00CA7074">
              <w:rPr>
                <w:sz w:val="24"/>
                <w:szCs w:val="24"/>
              </w:rPr>
              <w:t>.</w:t>
            </w:r>
            <w:r w:rsidRPr="00CA7074">
              <w:rPr>
                <w:sz w:val="24"/>
                <w:szCs w:val="24"/>
                <w:lang w:val="en-US"/>
              </w:rPr>
              <w:t>gov</w:t>
            </w:r>
            <w:r w:rsidRPr="00CA7074">
              <w:rPr>
                <w:sz w:val="24"/>
                <w:szCs w:val="24"/>
              </w:rPr>
              <w:t>.</w:t>
            </w:r>
            <w:proofErr w:type="spellStart"/>
            <w:r w:rsidRPr="00CA7074">
              <w:rPr>
                <w:sz w:val="24"/>
                <w:szCs w:val="24"/>
              </w:rPr>
              <w:t>ua</w:t>
            </w:r>
            <w:proofErr w:type="spellEnd"/>
          </w:p>
          <w:p w14:paraId="74ECC68A" w14:textId="110FB1EF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CA7074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CA7074">
              <w:rPr>
                <w:color w:val="000000"/>
                <w:sz w:val="24"/>
                <w:szCs w:val="24"/>
              </w:rPr>
              <w:t>-сайт: http://</w:t>
            </w:r>
            <w:hyperlink r:id="rId7" w:history="1">
              <w:r w:rsidRPr="00CA7074">
                <w:rPr>
                  <w:rStyle w:val="a6"/>
                  <w:sz w:val="24"/>
                  <w:szCs w:val="24"/>
                </w:rPr>
                <w:t>city-adm.lviv.ua</w:t>
              </w:r>
            </w:hyperlink>
            <w:r w:rsidRPr="00CA7074">
              <w:rPr>
                <w:sz w:val="24"/>
                <w:szCs w:val="24"/>
              </w:rPr>
              <w:t>/</w:t>
            </w:r>
            <w:r w:rsidRPr="00CA7074">
              <w:rPr>
                <w:sz w:val="24"/>
                <w:szCs w:val="24"/>
                <w:lang w:val="en-US"/>
              </w:rPr>
              <w:t>services</w:t>
            </w:r>
            <w:r w:rsidRPr="00CA7074">
              <w:rPr>
                <w:sz w:val="24"/>
                <w:szCs w:val="24"/>
              </w:rPr>
              <w:t xml:space="preserve"> </w:t>
            </w:r>
          </w:p>
        </w:tc>
      </w:tr>
      <w:tr w:rsidR="006A0EA1" w14:paraId="0A7340C7" w14:textId="77777777" w:rsidTr="006A2539">
        <w:tc>
          <w:tcPr>
            <w:tcW w:w="9855" w:type="dxa"/>
            <w:gridSpan w:val="3"/>
          </w:tcPr>
          <w:p w14:paraId="18EB0032" w14:textId="77777777" w:rsidR="006A0EA1" w:rsidRPr="009B5576" w:rsidRDefault="006A0EA1" w:rsidP="00BD3E64">
            <w:pPr>
              <w:spacing w:before="120" w:after="120"/>
              <w:jc w:val="center"/>
              <w:rPr>
                <w:b/>
              </w:rPr>
            </w:pPr>
            <w:r w:rsidRPr="00AD2CF0">
              <w:rPr>
                <w:b/>
                <w:w w:val="105"/>
                <w:sz w:val="24"/>
              </w:rPr>
              <w:t>Нормативні</w:t>
            </w:r>
            <w:r w:rsidRPr="00AD2CF0">
              <w:rPr>
                <w:b/>
                <w:spacing w:val="56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акти, якими регламентується</w:t>
            </w:r>
            <w:r w:rsidRPr="00AD2CF0">
              <w:rPr>
                <w:b/>
                <w:spacing w:val="29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надання</w:t>
            </w:r>
            <w:r w:rsidRPr="00AD2CF0">
              <w:rPr>
                <w:b/>
                <w:spacing w:val="46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адміністративної</w:t>
            </w:r>
            <w:r w:rsidRPr="00AD2CF0">
              <w:rPr>
                <w:b/>
                <w:spacing w:val="42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послуги</w:t>
            </w:r>
          </w:p>
        </w:tc>
      </w:tr>
      <w:tr w:rsidR="006A0EA1" w14:paraId="28109D3C" w14:textId="77777777" w:rsidTr="006A2539">
        <w:tc>
          <w:tcPr>
            <w:tcW w:w="534" w:type="dxa"/>
            <w:vAlign w:val="center"/>
          </w:tcPr>
          <w:p w14:paraId="0288D821" w14:textId="77777777" w:rsidR="006A0EA1" w:rsidRDefault="006A0EA1" w:rsidP="006A0EA1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14:paraId="56D8288D" w14:textId="77777777" w:rsidR="006A0EA1" w:rsidRPr="00AD2CF0" w:rsidRDefault="006A0EA1" w:rsidP="007422FE">
            <w:pPr>
              <w:spacing w:before="6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Закони України</w:t>
            </w:r>
          </w:p>
        </w:tc>
        <w:tc>
          <w:tcPr>
            <w:tcW w:w="5778" w:type="dxa"/>
          </w:tcPr>
          <w:p w14:paraId="3D989CC4" w14:textId="77777777" w:rsidR="006A0EA1" w:rsidRPr="00AD2CF0" w:rsidRDefault="006A0EA1" w:rsidP="007422FE">
            <w:pPr>
              <w:spacing w:before="6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Кодекс України про надра;</w:t>
            </w:r>
          </w:p>
          <w:p w14:paraId="22C2D921" w14:textId="77777777" w:rsidR="006A0EA1" w:rsidRPr="00AD2CF0" w:rsidRDefault="006A0EA1" w:rsidP="007422FE">
            <w:pPr>
              <w:spacing w:after="6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Закон України «Про адміністративні послуги»</w:t>
            </w:r>
          </w:p>
        </w:tc>
      </w:tr>
      <w:tr w:rsidR="006A0EA1" w14:paraId="2CF48611" w14:textId="77777777" w:rsidTr="006A2539">
        <w:tc>
          <w:tcPr>
            <w:tcW w:w="534" w:type="dxa"/>
            <w:vAlign w:val="center"/>
          </w:tcPr>
          <w:p w14:paraId="206CBCE6" w14:textId="77777777" w:rsidR="006A0EA1" w:rsidRDefault="006A0EA1" w:rsidP="006A0EA1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14:paraId="06977C94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Акти Кабінету Міністрів України</w:t>
            </w:r>
          </w:p>
        </w:tc>
        <w:tc>
          <w:tcPr>
            <w:tcW w:w="5778" w:type="dxa"/>
          </w:tcPr>
          <w:p w14:paraId="59B8C665" w14:textId="77777777" w:rsidR="00831212" w:rsidRPr="00831212" w:rsidRDefault="00831212" w:rsidP="00831212">
            <w:pPr>
              <w:spacing w:before="120"/>
              <w:ind w:left="318" w:hanging="284"/>
              <w:jc w:val="both"/>
              <w:rPr>
                <w:sz w:val="24"/>
              </w:rPr>
            </w:pPr>
            <w:r w:rsidRPr="00831212">
              <w:rPr>
                <w:sz w:val="24"/>
              </w:rPr>
              <w:t>1.</w:t>
            </w:r>
            <w:r w:rsidRPr="00831212">
              <w:rPr>
                <w:sz w:val="24"/>
              </w:rPr>
              <w:tab/>
              <w:t>Постанова Кабінету Міністрів України від 27.01.1995 № 59 «Про затвердження Положення про порядок надання гірничих відводів» (далі – Положення);</w:t>
            </w:r>
          </w:p>
          <w:p w14:paraId="20A0038F" w14:textId="77777777" w:rsidR="00831212" w:rsidRPr="00831212" w:rsidRDefault="00831212" w:rsidP="00831212">
            <w:pPr>
              <w:ind w:left="318" w:hanging="284"/>
              <w:jc w:val="both"/>
              <w:rPr>
                <w:sz w:val="24"/>
              </w:rPr>
            </w:pPr>
            <w:r w:rsidRPr="00831212">
              <w:rPr>
                <w:sz w:val="24"/>
              </w:rPr>
              <w:t>2.</w:t>
            </w:r>
            <w:r w:rsidRPr="00831212">
              <w:rPr>
                <w:sz w:val="24"/>
              </w:rPr>
              <w:tab/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14:paraId="7C92F601" w14:textId="714188D6" w:rsidR="006A0EA1" w:rsidRPr="00AD2CF0" w:rsidRDefault="00831212" w:rsidP="00831212">
            <w:pPr>
              <w:spacing w:after="120"/>
              <w:ind w:left="320" w:hanging="284"/>
              <w:jc w:val="both"/>
              <w:rPr>
                <w:sz w:val="24"/>
              </w:rPr>
            </w:pPr>
            <w:r w:rsidRPr="00831212">
              <w:rPr>
                <w:sz w:val="24"/>
              </w:rPr>
              <w:t>3.</w:t>
            </w:r>
            <w:r w:rsidRPr="00831212">
              <w:rPr>
                <w:sz w:val="24"/>
              </w:rPr>
              <w:tab/>
              <w:t>Постанова Кабінету Міністрів України від 11.02.2015 № 96 «Про затвердження Положення про Державну службу України з питань праці».</w:t>
            </w:r>
          </w:p>
        </w:tc>
      </w:tr>
      <w:tr w:rsidR="006A0EA1" w14:paraId="0261D569" w14:textId="77777777" w:rsidTr="006A2539">
        <w:trPr>
          <w:trHeight w:val="353"/>
        </w:trPr>
        <w:tc>
          <w:tcPr>
            <w:tcW w:w="9855" w:type="dxa"/>
            <w:gridSpan w:val="3"/>
            <w:vAlign w:val="center"/>
          </w:tcPr>
          <w:p w14:paraId="3BC7FDD6" w14:textId="77777777" w:rsidR="006A0EA1" w:rsidRPr="00AD2CF0" w:rsidRDefault="006A0EA1" w:rsidP="00BD3E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2CF0">
              <w:rPr>
                <w:b/>
                <w:sz w:val="24"/>
                <w:szCs w:val="24"/>
              </w:rPr>
              <w:t xml:space="preserve">Умови отримання </w:t>
            </w:r>
            <w:r w:rsidRPr="00AD2CF0">
              <w:rPr>
                <w:b/>
                <w:w w:val="105"/>
                <w:sz w:val="24"/>
                <w:szCs w:val="24"/>
              </w:rPr>
              <w:t>адміністративної</w:t>
            </w:r>
            <w:r w:rsidRPr="00AD2CF0"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послуги</w:t>
            </w:r>
          </w:p>
        </w:tc>
      </w:tr>
      <w:tr w:rsidR="006A0EA1" w14:paraId="10396892" w14:textId="77777777" w:rsidTr="006A2539">
        <w:tc>
          <w:tcPr>
            <w:tcW w:w="534" w:type="dxa"/>
            <w:vAlign w:val="center"/>
          </w:tcPr>
          <w:p w14:paraId="7E44C860" w14:textId="77777777" w:rsidR="006A0EA1" w:rsidRDefault="006A0EA1" w:rsidP="006A0EA1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14:paraId="2FC803AA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5778" w:type="dxa"/>
          </w:tcPr>
          <w:p w14:paraId="274153D2" w14:textId="10A94C9D" w:rsidR="006A0EA1" w:rsidRPr="00AD2CF0" w:rsidRDefault="00831212" w:rsidP="00BD3E64">
            <w:pPr>
              <w:spacing w:before="120" w:after="120"/>
              <w:jc w:val="both"/>
              <w:rPr>
                <w:sz w:val="24"/>
              </w:rPr>
            </w:pPr>
            <w:r w:rsidRPr="00831212">
              <w:rPr>
                <w:sz w:val="24"/>
              </w:rPr>
              <w:t xml:space="preserve">Звернення користувача надр або уповноваженої ним особи до адміністратора центру надання адміністративних послуг (далі – ЦНАП) за місцем розташування об’єкта надрокористування із заявою про </w:t>
            </w:r>
            <w:r>
              <w:rPr>
                <w:sz w:val="24"/>
              </w:rPr>
              <w:t xml:space="preserve">видачу </w:t>
            </w:r>
            <w:r w:rsidRPr="00831212">
              <w:rPr>
                <w:sz w:val="24"/>
              </w:rPr>
              <w:t xml:space="preserve">гірничого відводу  </w:t>
            </w:r>
          </w:p>
        </w:tc>
      </w:tr>
      <w:tr w:rsidR="006A0EA1" w14:paraId="2BBDBFC7" w14:textId="77777777" w:rsidTr="006A2539">
        <w:tc>
          <w:tcPr>
            <w:tcW w:w="534" w:type="dxa"/>
            <w:vAlign w:val="center"/>
          </w:tcPr>
          <w:p w14:paraId="056D753F" w14:textId="77777777" w:rsidR="006A0EA1" w:rsidRDefault="006A0EA1" w:rsidP="006A0EA1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14:paraId="53379AF2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78" w:type="dxa"/>
          </w:tcPr>
          <w:p w14:paraId="09FBB190" w14:textId="77777777" w:rsidR="00BD3E64" w:rsidRDefault="006A0EA1" w:rsidP="00BA39C6">
            <w:pPr>
              <w:pStyle w:val="a7"/>
              <w:numPr>
                <w:ilvl w:val="0"/>
                <w:numId w:val="2"/>
              </w:numPr>
              <w:spacing w:before="60" w:after="120"/>
              <w:ind w:left="323" w:hanging="323"/>
              <w:rPr>
                <w:sz w:val="24"/>
              </w:rPr>
            </w:pPr>
            <w:r w:rsidRPr="00BD3E64">
              <w:rPr>
                <w:sz w:val="24"/>
              </w:rPr>
              <w:t>Заява.</w:t>
            </w:r>
          </w:p>
          <w:p w14:paraId="74E60DA8" w14:textId="7DC85898" w:rsidR="00BD3E64" w:rsidRPr="00BD3E64" w:rsidRDefault="006A0EA1" w:rsidP="00BA39C6">
            <w:pPr>
              <w:pStyle w:val="a7"/>
              <w:numPr>
                <w:ilvl w:val="0"/>
                <w:numId w:val="2"/>
              </w:numPr>
              <w:spacing w:before="60" w:after="120"/>
              <w:ind w:left="323" w:hanging="323"/>
              <w:rPr>
                <w:sz w:val="24"/>
              </w:rPr>
            </w:pPr>
            <w:r w:rsidRPr="00BD3E64">
              <w:rPr>
                <w:sz w:val="24"/>
              </w:rPr>
              <w:t>Проект гірничого відводу у двох примірниках.</w:t>
            </w:r>
          </w:p>
          <w:p w14:paraId="4CAB923B" w14:textId="380A0EC9" w:rsidR="006A0EA1" w:rsidRPr="00BD3E64" w:rsidRDefault="006A0EA1" w:rsidP="00BA39C6">
            <w:pPr>
              <w:pStyle w:val="a7"/>
              <w:numPr>
                <w:ilvl w:val="0"/>
                <w:numId w:val="2"/>
              </w:numPr>
              <w:spacing w:before="60" w:after="120"/>
              <w:ind w:left="323" w:hanging="323"/>
              <w:rPr>
                <w:sz w:val="24"/>
              </w:rPr>
            </w:pPr>
            <w:r w:rsidRPr="00BD3E64">
              <w:rPr>
                <w:sz w:val="24"/>
              </w:rPr>
              <w:t>Копія спеціального дозволу на користування надрами.</w:t>
            </w:r>
          </w:p>
          <w:p w14:paraId="6D15CA55" w14:textId="37235BD0" w:rsidR="006A0EA1" w:rsidRPr="00BD3E64" w:rsidRDefault="006A0EA1" w:rsidP="00BA39C6">
            <w:pPr>
              <w:pStyle w:val="a7"/>
              <w:numPr>
                <w:ilvl w:val="0"/>
                <w:numId w:val="2"/>
              </w:numPr>
              <w:spacing w:before="60" w:after="120"/>
              <w:ind w:left="323" w:hanging="323"/>
              <w:rPr>
                <w:sz w:val="24"/>
              </w:rPr>
            </w:pPr>
            <w:r w:rsidRPr="00BD3E64">
              <w:rPr>
                <w:sz w:val="24"/>
              </w:rPr>
              <w:t>Копія протоколу про затвердження проекту розробки родовища корисних копалин.</w:t>
            </w:r>
          </w:p>
          <w:p w14:paraId="7800041B" w14:textId="173B0BA7" w:rsidR="006A0EA1" w:rsidRPr="00BD3E64" w:rsidRDefault="006A0EA1" w:rsidP="00BA39C6">
            <w:pPr>
              <w:pStyle w:val="a7"/>
              <w:numPr>
                <w:ilvl w:val="0"/>
                <w:numId w:val="2"/>
              </w:numPr>
              <w:spacing w:before="60" w:after="120"/>
              <w:ind w:left="323" w:hanging="323"/>
              <w:rPr>
                <w:sz w:val="24"/>
              </w:rPr>
            </w:pPr>
            <w:r w:rsidRPr="00BD3E64">
              <w:rPr>
                <w:sz w:val="24"/>
              </w:rPr>
              <w:t>Витяг з протоколу засідання Державної комісії по запасах корисних копалин щодо оцінки запасів корисних копалин родовища та компонентів у них, їх кількості по об’єктах.</w:t>
            </w:r>
          </w:p>
          <w:p w14:paraId="4BEAF96C" w14:textId="77777777" w:rsidR="006A0EA1" w:rsidRDefault="006A0EA1" w:rsidP="00BA39C6">
            <w:pPr>
              <w:pStyle w:val="a7"/>
              <w:numPr>
                <w:ilvl w:val="0"/>
                <w:numId w:val="2"/>
              </w:numPr>
              <w:spacing w:before="60" w:after="120"/>
              <w:ind w:left="323" w:hanging="323"/>
              <w:rPr>
                <w:sz w:val="24"/>
              </w:rPr>
            </w:pPr>
            <w:r w:rsidRPr="00BD3E64">
              <w:rPr>
                <w:sz w:val="24"/>
              </w:rPr>
              <w:t>Лист від органів місцевого самоврядування або органів виконавчої влади про межі гірничого відводу для використання надр на території їх діяльності.</w:t>
            </w:r>
          </w:p>
          <w:p w14:paraId="2B886CAC" w14:textId="47350FF5" w:rsidR="00295A5F" w:rsidRPr="00BD3E64" w:rsidRDefault="00295A5F" w:rsidP="00BA39C6">
            <w:pPr>
              <w:pStyle w:val="a7"/>
              <w:numPr>
                <w:ilvl w:val="0"/>
                <w:numId w:val="2"/>
              </w:numPr>
              <w:spacing w:before="60" w:after="120"/>
              <w:ind w:left="323" w:hanging="323"/>
              <w:rPr>
                <w:sz w:val="24"/>
              </w:rPr>
            </w:pPr>
            <w:r w:rsidRPr="00295A5F">
              <w:rPr>
                <w:sz w:val="24"/>
              </w:rPr>
              <w:t>Інші вимоги, визначені Постановою Кабінету Міністрів України від 27.01.1995 № 59 «Про затвердження Положення про порядок надання гірничих відводів» з урахуванням мети використання надр.</w:t>
            </w:r>
          </w:p>
        </w:tc>
      </w:tr>
      <w:tr w:rsidR="006A0EA1" w14:paraId="587A0BDF" w14:textId="77777777" w:rsidTr="006A2539">
        <w:tc>
          <w:tcPr>
            <w:tcW w:w="534" w:type="dxa"/>
            <w:vAlign w:val="center"/>
          </w:tcPr>
          <w:p w14:paraId="2972FF19" w14:textId="77777777" w:rsidR="006A0EA1" w:rsidRDefault="006A0EA1" w:rsidP="006A0EA1">
            <w:pPr>
              <w:jc w:val="center"/>
            </w:pPr>
            <w:r>
              <w:t>8</w:t>
            </w:r>
          </w:p>
        </w:tc>
        <w:tc>
          <w:tcPr>
            <w:tcW w:w="3543" w:type="dxa"/>
          </w:tcPr>
          <w:p w14:paraId="3BB138B3" w14:textId="77777777" w:rsidR="006A0EA1" w:rsidRPr="00AD2CF0" w:rsidRDefault="006A0EA1" w:rsidP="00136BDF">
            <w:pPr>
              <w:spacing w:before="6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Порядок і спосіб подання документів, необхідних для отримання адміністративної послуги</w:t>
            </w:r>
          </w:p>
        </w:tc>
        <w:tc>
          <w:tcPr>
            <w:tcW w:w="5778" w:type="dxa"/>
          </w:tcPr>
          <w:p w14:paraId="18D903F8" w14:textId="681F4427" w:rsidR="006A0EA1" w:rsidRPr="00AD2CF0" w:rsidRDefault="00C97FDB" w:rsidP="00772C40">
            <w:pPr>
              <w:spacing w:before="60" w:after="120"/>
              <w:jc w:val="both"/>
              <w:rPr>
                <w:sz w:val="24"/>
              </w:rPr>
            </w:pPr>
            <w:r w:rsidRPr="00C97FDB">
              <w:rPr>
                <w:sz w:val="24"/>
                <w:szCs w:val="24"/>
                <w:lang w:eastAsia="ru-RU"/>
              </w:rPr>
              <w:t>Документи подаються заявником або уповноваженою ним особою адміністратору Центру надання адміністративних послуг (далі – ЦНАП) особисто або поштовим відправленням.</w:t>
            </w:r>
          </w:p>
        </w:tc>
      </w:tr>
      <w:tr w:rsidR="006A0EA1" w14:paraId="5481FA8A" w14:textId="77777777" w:rsidTr="006A2539">
        <w:tc>
          <w:tcPr>
            <w:tcW w:w="534" w:type="dxa"/>
            <w:vAlign w:val="center"/>
          </w:tcPr>
          <w:p w14:paraId="5D264E7D" w14:textId="77777777" w:rsidR="006A0EA1" w:rsidRDefault="006A0EA1" w:rsidP="006A0EA1">
            <w:pPr>
              <w:jc w:val="center"/>
            </w:pPr>
            <w:r>
              <w:lastRenderedPageBreak/>
              <w:t>9</w:t>
            </w:r>
          </w:p>
        </w:tc>
        <w:tc>
          <w:tcPr>
            <w:tcW w:w="3543" w:type="dxa"/>
          </w:tcPr>
          <w:p w14:paraId="45AC8183" w14:textId="53B47028" w:rsidR="006A0EA1" w:rsidRPr="00AD2CF0" w:rsidRDefault="006A0EA1" w:rsidP="00772C40">
            <w:pPr>
              <w:spacing w:before="6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Платність (безоплатність)</w:t>
            </w:r>
            <w:r w:rsidR="00772C40"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надання адміністративної</w:t>
            </w:r>
            <w:r w:rsidR="00772C40"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послуги</w:t>
            </w:r>
          </w:p>
        </w:tc>
        <w:tc>
          <w:tcPr>
            <w:tcW w:w="5778" w:type="dxa"/>
          </w:tcPr>
          <w:p w14:paraId="05F15BA8" w14:textId="77777777" w:rsidR="006A0EA1" w:rsidRPr="00AD2CF0" w:rsidRDefault="006A0EA1" w:rsidP="00136BDF">
            <w:pPr>
              <w:spacing w:before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Безоплатно</w:t>
            </w:r>
          </w:p>
          <w:p w14:paraId="1755E013" w14:textId="77777777" w:rsidR="006A0EA1" w:rsidRPr="00AD2CF0" w:rsidRDefault="006A0EA1" w:rsidP="006A0EA1">
            <w:pPr>
              <w:jc w:val="both"/>
              <w:rPr>
                <w:sz w:val="24"/>
              </w:rPr>
            </w:pPr>
          </w:p>
        </w:tc>
      </w:tr>
      <w:tr w:rsidR="006A0EA1" w14:paraId="1DE051A2" w14:textId="77777777" w:rsidTr="006A2539">
        <w:tc>
          <w:tcPr>
            <w:tcW w:w="534" w:type="dxa"/>
            <w:vAlign w:val="center"/>
          </w:tcPr>
          <w:p w14:paraId="19755E78" w14:textId="77777777" w:rsidR="006A0EA1" w:rsidRDefault="006A0EA1" w:rsidP="006A0EA1">
            <w:pPr>
              <w:jc w:val="center"/>
            </w:pPr>
            <w:r>
              <w:t>10</w:t>
            </w:r>
          </w:p>
        </w:tc>
        <w:tc>
          <w:tcPr>
            <w:tcW w:w="3543" w:type="dxa"/>
          </w:tcPr>
          <w:p w14:paraId="46B5EF5F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Нормативно-правовий акт на підставі якого стягується плата</w:t>
            </w:r>
          </w:p>
        </w:tc>
        <w:tc>
          <w:tcPr>
            <w:tcW w:w="5778" w:type="dxa"/>
          </w:tcPr>
          <w:p w14:paraId="4CACD7D1" w14:textId="77777777" w:rsidR="006A0EA1" w:rsidRPr="00AD2CF0" w:rsidRDefault="006A0EA1" w:rsidP="00136BDF">
            <w:pPr>
              <w:spacing w:before="120"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Відсутній</w:t>
            </w:r>
          </w:p>
        </w:tc>
      </w:tr>
      <w:tr w:rsidR="006A0EA1" w14:paraId="1C80ED4C" w14:textId="77777777" w:rsidTr="006A2539">
        <w:tc>
          <w:tcPr>
            <w:tcW w:w="534" w:type="dxa"/>
            <w:vAlign w:val="center"/>
          </w:tcPr>
          <w:p w14:paraId="41A86C1F" w14:textId="77777777" w:rsidR="006A0EA1" w:rsidRDefault="006A0EA1" w:rsidP="006A0EA1">
            <w:pPr>
              <w:jc w:val="center"/>
            </w:pPr>
            <w:r>
              <w:t>11</w:t>
            </w:r>
          </w:p>
        </w:tc>
        <w:tc>
          <w:tcPr>
            <w:tcW w:w="3543" w:type="dxa"/>
          </w:tcPr>
          <w:p w14:paraId="7548CAE8" w14:textId="77777777" w:rsidR="006A0EA1" w:rsidRPr="00AD2CF0" w:rsidRDefault="006A0EA1" w:rsidP="00FC4425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78" w:type="dxa"/>
          </w:tcPr>
          <w:p w14:paraId="049D2AD5" w14:textId="77777777" w:rsidR="006A0EA1" w:rsidRPr="00AD2CF0" w:rsidRDefault="006A0EA1" w:rsidP="00FC4425">
            <w:pPr>
              <w:spacing w:before="120"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Не вноситься</w:t>
            </w:r>
          </w:p>
        </w:tc>
      </w:tr>
      <w:tr w:rsidR="006A0EA1" w14:paraId="1D2FA5BF" w14:textId="77777777" w:rsidTr="006A2539">
        <w:tc>
          <w:tcPr>
            <w:tcW w:w="534" w:type="dxa"/>
            <w:vAlign w:val="center"/>
          </w:tcPr>
          <w:p w14:paraId="191C2DC4" w14:textId="77777777" w:rsidR="006A0EA1" w:rsidRDefault="006A0EA1" w:rsidP="006A0EA1">
            <w:pPr>
              <w:jc w:val="center"/>
            </w:pPr>
            <w:r>
              <w:t>12</w:t>
            </w:r>
          </w:p>
        </w:tc>
        <w:tc>
          <w:tcPr>
            <w:tcW w:w="3543" w:type="dxa"/>
          </w:tcPr>
          <w:p w14:paraId="691471AC" w14:textId="77777777" w:rsidR="006A0EA1" w:rsidRPr="00AD2CF0" w:rsidRDefault="006A0EA1" w:rsidP="00FC4425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Строк надання</w:t>
            </w:r>
            <w:r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адміністративної</w:t>
            </w:r>
            <w:r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 xml:space="preserve">послуги </w:t>
            </w:r>
          </w:p>
        </w:tc>
        <w:tc>
          <w:tcPr>
            <w:tcW w:w="5778" w:type="dxa"/>
          </w:tcPr>
          <w:p w14:paraId="5059B989" w14:textId="77777777" w:rsidR="006A0EA1" w:rsidRPr="00AD2CF0" w:rsidRDefault="006A0EA1" w:rsidP="00FC4425">
            <w:pPr>
              <w:spacing w:before="120"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Рішення стосовно заявки на одержання гірничого відводу приймається протягом 21 дня.</w:t>
            </w:r>
          </w:p>
        </w:tc>
      </w:tr>
      <w:tr w:rsidR="006A0EA1" w14:paraId="1630F899" w14:textId="77777777" w:rsidTr="006A2539">
        <w:tc>
          <w:tcPr>
            <w:tcW w:w="534" w:type="dxa"/>
            <w:vAlign w:val="center"/>
          </w:tcPr>
          <w:p w14:paraId="47F65638" w14:textId="77777777" w:rsidR="006A0EA1" w:rsidRDefault="006A0EA1" w:rsidP="006A0EA1">
            <w:pPr>
              <w:jc w:val="center"/>
            </w:pPr>
            <w:r>
              <w:t>13</w:t>
            </w:r>
          </w:p>
        </w:tc>
        <w:tc>
          <w:tcPr>
            <w:tcW w:w="3543" w:type="dxa"/>
          </w:tcPr>
          <w:p w14:paraId="50568746" w14:textId="77777777" w:rsidR="006A0EA1" w:rsidRPr="00AD2CF0" w:rsidRDefault="006A0EA1" w:rsidP="00FC4425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Результат надання адміністративної</w:t>
            </w:r>
            <w:r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послуги</w:t>
            </w:r>
          </w:p>
        </w:tc>
        <w:tc>
          <w:tcPr>
            <w:tcW w:w="5778" w:type="dxa"/>
          </w:tcPr>
          <w:p w14:paraId="2290559C" w14:textId="393BF20E" w:rsidR="006A0EA1" w:rsidRPr="00AD2CF0" w:rsidRDefault="006A0EA1" w:rsidP="00FC4425">
            <w:pPr>
              <w:spacing w:before="120"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 xml:space="preserve">Акт про надання гірничого відводу та надпис на копії топографічного плану або рішення про відмову видачі акта </w:t>
            </w:r>
            <w:r w:rsidR="00C97FDB">
              <w:rPr>
                <w:sz w:val="24"/>
              </w:rPr>
              <w:t xml:space="preserve">із </w:t>
            </w:r>
            <w:r w:rsidRPr="00AD2CF0">
              <w:rPr>
                <w:sz w:val="24"/>
              </w:rPr>
              <w:t>зазначенням причин</w:t>
            </w:r>
            <w:r w:rsidR="00295A5F">
              <w:rPr>
                <w:sz w:val="24"/>
              </w:rPr>
              <w:t>.</w:t>
            </w:r>
          </w:p>
        </w:tc>
      </w:tr>
      <w:tr w:rsidR="006A0EA1" w14:paraId="69984F90" w14:textId="77777777" w:rsidTr="006A2539">
        <w:tc>
          <w:tcPr>
            <w:tcW w:w="534" w:type="dxa"/>
            <w:vAlign w:val="center"/>
          </w:tcPr>
          <w:p w14:paraId="6FBDBE86" w14:textId="77777777" w:rsidR="006A0EA1" w:rsidRDefault="006A0EA1" w:rsidP="006A0EA1">
            <w:pPr>
              <w:jc w:val="center"/>
            </w:pPr>
            <w:r>
              <w:t>14</w:t>
            </w:r>
          </w:p>
        </w:tc>
        <w:tc>
          <w:tcPr>
            <w:tcW w:w="3543" w:type="dxa"/>
          </w:tcPr>
          <w:p w14:paraId="5D431CAE" w14:textId="77777777" w:rsidR="006A0EA1" w:rsidRPr="00AD2CF0" w:rsidRDefault="006A0EA1" w:rsidP="00FC4425">
            <w:pPr>
              <w:spacing w:before="120" w:after="120"/>
              <w:rPr>
                <w:sz w:val="24"/>
              </w:rPr>
            </w:pPr>
            <w:r w:rsidRPr="00AD2CF0"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5778" w:type="dxa"/>
          </w:tcPr>
          <w:p w14:paraId="72B01EBE" w14:textId="30FEC798" w:rsidR="006A0EA1" w:rsidRPr="00AD2CF0" w:rsidRDefault="00EF2E4E" w:rsidP="00FC4425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Надсилається поштовим відправленням протягом п’яти робочих днів або видається наручно (а</w:t>
            </w:r>
            <w:r w:rsidRPr="00EF2E4E">
              <w:rPr>
                <w:sz w:val="24"/>
                <w:szCs w:val="24"/>
                <w:lang w:eastAsia="ru-RU"/>
              </w:rPr>
              <w:t>кт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F2E4E">
              <w:rPr>
                <w:sz w:val="24"/>
                <w:szCs w:val="24"/>
                <w:lang w:eastAsia="ru-RU"/>
              </w:rPr>
              <w:t xml:space="preserve"> надпис на копії топографічного плану</w:t>
            </w:r>
            <w:r>
              <w:rPr>
                <w:sz w:val="24"/>
                <w:szCs w:val="24"/>
                <w:lang w:eastAsia="ru-RU"/>
              </w:rPr>
              <w:t xml:space="preserve"> та один примірник проекту гірничого відводу</w:t>
            </w:r>
            <w:r w:rsidRPr="00EF2E4E">
              <w:rPr>
                <w:sz w:val="24"/>
                <w:szCs w:val="24"/>
                <w:lang w:eastAsia="ru-RU"/>
              </w:rPr>
              <w:t xml:space="preserve"> або рішення про відмову видачі акта із зазначенням причин</w:t>
            </w:r>
            <w:r w:rsidR="00295A5F">
              <w:rPr>
                <w:sz w:val="24"/>
                <w:szCs w:val="24"/>
                <w:lang w:eastAsia="ru-RU"/>
              </w:rPr>
              <w:t>)</w:t>
            </w:r>
            <w:r w:rsidR="00136BDF" w:rsidRPr="00136BDF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6A8BC4FD" w14:textId="77777777" w:rsidR="0021157F" w:rsidRDefault="0021157F"/>
    <w:sectPr w:rsidR="0021157F" w:rsidSect="00211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A5"/>
    <w:multiLevelType w:val="hybridMultilevel"/>
    <w:tmpl w:val="96D27704"/>
    <w:lvl w:ilvl="0" w:tplc="3C0C0B3C">
      <w:start w:val="4"/>
      <w:numFmt w:val="decimal"/>
      <w:lvlText w:val="%1."/>
      <w:lvlJc w:val="left"/>
      <w:pPr>
        <w:ind w:left="3852" w:hanging="387"/>
      </w:pPr>
      <w:rPr>
        <w:rFonts w:hint="default"/>
        <w:w w:val="91"/>
        <w:lang w:val="uk-UA" w:eastAsia="en-US" w:bidi="ar-SA"/>
      </w:rPr>
    </w:lvl>
    <w:lvl w:ilvl="1" w:tplc="67DCCB2E">
      <w:numFmt w:val="bullet"/>
      <w:lvlText w:val="•"/>
      <w:lvlJc w:val="left"/>
      <w:pPr>
        <w:ind w:left="4380" w:hanging="387"/>
      </w:pPr>
      <w:rPr>
        <w:rFonts w:hint="default"/>
        <w:lang w:val="uk-UA" w:eastAsia="en-US" w:bidi="ar-SA"/>
      </w:rPr>
    </w:lvl>
    <w:lvl w:ilvl="2" w:tplc="4066055E">
      <w:numFmt w:val="bullet"/>
      <w:lvlText w:val="•"/>
      <w:lvlJc w:val="left"/>
      <w:pPr>
        <w:ind w:left="4900" w:hanging="387"/>
      </w:pPr>
      <w:rPr>
        <w:rFonts w:hint="default"/>
        <w:lang w:val="uk-UA" w:eastAsia="en-US" w:bidi="ar-SA"/>
      </w:rPr>
    </w:lvl>
    <w:lvl w:ilvl="3" w:tplc="25FCC298">
      <w:numFmt w:val="bullet"/>
      <w:lvlText w:val="•"/>
      <w:lvlJc w:val="left"/>
      <w:pPr>
        <w:ind w:left="5420" w:hanging="387"/>
      </w:pPr>
      <w:rPr>
        <w:rFonts w:hint="default"/>
        <w:lang w:val="uk-UA" w:eastAsia="en-US" w:bidi="ar-SA"/>
      </w:rPr>
    </w:lvl>
    <w:lvl w:ilvl="4" w:tplc="B844C22A">
      <w:numFmt w:val="bullet"/>
      <w:lvlText w:val="•"/>
      <w:lvlJc w:val="left"/>
      <w:pPr>
        <w:ind w:left="5940" w:hanging="387"/>
      </w:pPr>
      <w:rPr>
        <w:rFonts w:hint="default"/>
        <w:lang w:val="uk-UA" w:eastAsia="en-US" w:bidi="ar-SA"/>
      </w:rPr>
    </w:lvl>
    <w:lvl w:ilvl="5" w:tplc="7E7243AA">
      <w:numFmt w:val="bullet"/>
      <w:lvlText w:val="•"/>
      <w:lvlJc w:val="left"/>
      <w:pPr>
        <w:ind w:left="6460" w:hanging="387"/>
      </w:pPr>
      <w:rPr>
        <w:rFonts w:hint="default"/>
        <w:lang w:val="uk-UA" w:eastAsia="en-US" w:bidi="ar-SA"/>
      </w:rPr>
    </w:lvl>
    <w:lvl w:ilvl="6" w:tplc="544AEA74">
      <w:numFmt w:val="bullet"/>
      <w:lvlText w:val="•"/>
      <w:lvlJc w:val="left"/>
      <w:pPr>
        <w:ind w:left="6980" w:hanging="387"/>
      </w:pPr>
      <w:rPr>
        <w:rFonts w:hint="default"/>
        <w:lang w:val="uk-UA" w:eastAsia="en-US" w:bidi="ar-SA"/>
      </w:rPr>
    </w:lvl>
    <w:lvl w:ilvl="7" w:tplc="0980E264">
      <w:numFmt w:val="bullet"/>
      <w:lvlText w:val="•"/>
      <w:lvlJc w:val="left"/>
      <w:pPr>
        <w:ind w:left="7500" w:hanging="387"/>
      </w:pPr>
      <w:rPr>
        <w:rFonts w:hint="default"/>
        <w:lang w:val="uk-UA" w:eastAsia="en-US" w:bidi="ar-SA"/>
      </w:rPr>
    </w:lvl>
    <w:lvl w:ilvl="8" w:tplc="944216A0">
      <w:numFmt w:val="bullet"/>
      <w:lvlText w:val="•"/>
      <w:lvlJc w:val="left"/>
      <w:pPr>
        <w:ind w:left="8020" w:hanging="387"/>
      </w:pPr>
      <w:rPr>
        <w:rFonts w:hint="default"/>
        <w:lang w:val="uk-UA" w:eastAsia="en-US" w:bidi="ar-SA"/>
      </w:rPr>
    </w:lvl>
  </w:abstractNum>
  <w:abstractNum w:abstractNumId="1" w15:restartNumberingAfterBreak="0">
    <w:nsid w:val="6F2936C5"/>
    <w:multiLevelType w:val="hybridMultilevel"/>
    <w:tmpl w:val="A662A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95F60"/>
    <w:multiLevelType w:val="hybridMultilevel"/>
    <w:tmpl w:val="A9D4C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DAA"/>
    <w:rsid w:val="00097AA8"/>
    <w:rsid w:val="000F10BC"/>
    <w:rsid w:val="00136BDF"/>
    <w:rsid w:val="00142931"/>
    <w:rsid w:val="001928D0"/>
    <w:rsid w:val="001C151C"/>
    <w:rsid w:val="001D5474"/>
    <w:rsid w:val="0021157F"/>
    <w:rsid w:val="00255056"/>
    <w:rsid w:val="00295A5F"/>
    <w:rsid w:val="002D1676"/>
    <w:rsid w:val="002E5E81"/>
    <w:rsid w:val="003543A9"/>
    <w:rsid w:val="003677F4"/>
    <w:rsid w:val="00492925"/>
    <w:rsid w:val="00496F2C"/>
    <w:rsid w:val="006A0EA1"/>
    <w:rsid w:val="006A2539"/>
    <w:rsid w:val="00723608"/>
    <w:rsid w:val="007422FE"/>
    <w:rsid w:val="00772C40"/>
    <w:rsid w:val="007D1209"/>
    <w:rsid w:val="00831212"/>
    <w:rsid w:val="00953B7A"/>
    <w:rsid w:val="00964BA6"/>
    <w:rsid w:val="009B5576"/>
    <w:rsid w:val="009F287D"/>
    <w:rsid w:val="00AD2CF0"/>
    <w:rsid w:val="00B033D4"/>
    <w:rsid w:val="00B86473"/>
    <w:rsid w:val="00BA39C6"/>
    <w:rsid w:val="00BD3E64"/>
    <w:rsid w:val="00C51980"/>
    <w:rsid w:val="00C572F9"/>
    <w:rsid w:val="00C7146A"/>
    <w:rsid w:val="00C97FDB"/>
    <w:rsid w:val="00CA6173"/>
    <w:rsid w:val="00CC1316"/>
    <w:rsid w:val="00CE5DDA"/>
    <w:rsid w:val="00D40AB3"/>
    <w:rsid w:val="00D547A5"/>
    <w:rsid w:val="00D922B7"/>
    <w:rsid w:val="00DE3561"/>
    <w:rsid w:val="00EC4DAA"/>
    <w:rsid w:val="00EF2E4E"/>
    <w:rsid w:val="00EF74D2"/>
    <w:rsid w:val="00FB7ECA"/>
    <w:rsid w:val="00FC442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3092"/>
  <w15:docId w15:val="{E7480B83-116C-482D-AE79-48AF5C4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C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4DA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4DA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4DAA"/>
    <w:pPr>
      <w:ind w:left="1283"/>
      <w:jc w:val="center"/>
      <w:outlineLvl w:val="1"/>
    </w:pPr>
    <w:rPr>
      <w:sz w:val="28"/>
      <w:szCs w:val="28"/>
    </w:rPr>
  </w:style>
  <w:style w:type="table" w:styleId="a5">
    <w:name w:val="Table Grid"/>
    <w:basedOn w:val="a1"/>
    <w:uiPriority w:val="59"/>
    <w:rsid w:val="0095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53B7A"/>
  </w:style>
  <w:style w:type="character" w:styleId="a6">
    <w:name w:val="Hyperlink"/>
    <w:rsid w:val="00FF34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3E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4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y-adm.lvi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viv.dsp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779F-CDA8-4E24-8344-A7E7941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40</cp:revision>
  <cp:lastPrinted>2021-10-08T12:34:00Z</cp:lastPrinted>
  <dcterms:created xsi:type="dcterms:W3CDTF">2021-10-04T05:17:00Z</dcterms:created>
  <dcterms:modified xsi:type="dcterms:W3CDTF">2021-10-18T13:41:00Z</dcterms:modified>
</cp:coreProperties>
</file>